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Vitamin D deficiency (&lt;20 ng/mL) and Dyslipidemia (KSoLA composite)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Vitamin D deficiency (&lt;20 ng/mL) was positively associated with Dyslipidemia (KSoLA composite) (odds ratio 1.03 (95% CI 0.95 to 1.13), false discovery rate q 0.547) among 25412 adults aged 20 years or older (a weighted Dyslipidemia (KSoLA composite) prevalence of 51.7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Dyslipidemia (KSoLA composite)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1.03 (95% CI 0.95 to 1.13)</w:t>
            </w:r>
          </w:p>
        </w:tc>
        <w:tc>
          <w:tcPr>
            <w:tcW w:type="dxa" w:w="1234"/>
          </w:tcPr>
          <w:p>
            <w:r>
              <w:t>0.489</w:t>
            </w:r>
          </w:p>
        </w:tc>
        <w:tc>
          <w:tcPr>
            <w:tcW w:type="dxa" w:w="1234"/>
          </w:tcPr>
          <w:p>
            <w:r>
              <w:t>0.547</w:t>
            </w:r>
          </w:p>
        </w:tc>
        <w:tc>
          <w:tcPr>
            <w:tcW w:type="dxa" w:w="1234"/>
          </w:tcPr>
          <w:p>
            <w:r>
              <w:t>25412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Dyslipidemia (KSoLA composite)</w:t>
            </w:r>
          </w:p>
        </w:tc>
        <w:tc>
          <w:tcPr>
            <w:tcW w:type="dxa" w:w="2160"/>
          </w:tcPr>
          <w:p>
            <w:r>
              <w:t>Dyslipidemia (KSoLA composite)</w:t>
            </w:r>
          </w:p>
        </w:tc>
      </w:tr>
      <w:tr>
        <w:tc>
          <w:tcPr>
            <w:tcW w:type="dxa" w:w="2160"/>
          </w:tcPr>
          <w:p>
            <w:r>
              <w:t>Vitamin D deficiency (&lt;20 ng/mL) (exposure)</w:t>
            </w:r>
          </w:p>
        </w:tc>
        <w:tc>
          <w:tcPr>
            <w:tcW w:type="dxa" w:w="2160"/>
          </w:tcPr>
          <w:p>
            <w:r>
              <w:t>24.4%</w:t>
            </w:r>
          </w:p>
        </w:tc>
        <w:tc>
          <w:tcPr>
            <w:tcW w:type="dxa" w:w="2160"/>
          </w:tcPr>
          <w:p>
            <w:r>
              <w:t>23.9%</w:t>
            </w:r>
          </w:p>
        </w:tc>
        <w:tc>
          <w:tcPr>
            <w:tcW w:type="dxa" w:w="2160"/>
          </w:tcPr>
          <w:p>
            <w:r>
              <w:t>24.9%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43.8</w:t>
            </w:r>
          </w:p>
        </w:tc>
        <w:tc>
          <w:tcPr>
            <w:tcW w:type="dxa" w:w="2160"/>
          </w:tcPr>
          <w:p>
            <w:r>
              <w:t>51.4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49.1%</w:t>
            </w:r>
          </w:p>
        </w:tc>
        <w:tc>
          <w:tcPr>
            <w:tcW w:type="dxa" w:w="2160"/>
          </w:tcPr>
          <w:p>
            <w:r>
              <w:t>47.1%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27.4</w:t>
            </w:r>
          </w:p>
        </w:tc>
        <w:tc>
          <w:tcPr>
            <w:tcW w:type="dxa" w:w="2160"/>
          </w:tcPr>
          <w:p>
            <w:r>
              <w:t>30.7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40.2%</w:t>
            </w:r>
          </w:p>
        </w:tc>
        <w:tc>
          <w:tcPr>
            <w:tcW w:type="dxa" w:w="2160"/>
          </w:tcPr>
          <w:p>
            <w:r>
              <w:t>46.3%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83.1%</w:t>
            </w:r>
          </w:p>
        </w:tc>
        <w:tc>
          <w:tcPr>
            <w:tcW w:type="dxa" w:w="2160"/>
          </w:tcPr>
          <w:p>
            <w:r>
              <w:t>78.5%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