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Dyslipidemia (KSoLA composite) (odds ratio per 1-SD 1.65 (95% CI 1.57 to 1.72), false discovery rate q &lt;0.001) among 25412 adults aged 20 years or older (a weighted Dyslipidemia (KSoLA composite) prevalence of 51.7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1.65 (95% CI 1.57 to 1.72)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82.8</w:t>
            </w:r>
          </w:p>
        </w:tc>
        <w:tc>
          <w:tcPr>
            <w:tcW w:type="dxa" w:w="2160"/>
          </w:tcPr>
          <w:p>
            <w:r>
              <w:t>78.6</w:t>
            </w:r>
          </w:p>
        </w:tc>
        <w:tc>
          <w:tcPr>
            <w:tcW w:type="dxa" w:w="2160"/>
          </w:tcPr>
          <w:p>
            <w:r>
              <w:t>86.7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