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eGFR (CKD-EPI 2021), mL/min/1.73m2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Abdominal obesity was positively associated with eGFR (CKD-EPI 2021), mL/min/1.73m2 (beta coefficient 0.29 (95% CI -0.33 to 0.90), false discovery rate q 0.417) among 22274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0.29 (95% CI -0.33 to 0.90)</w:t>
            </w:r>
          </w:p>
        </w:tc>
        <w:tc>
          <w:tcPr>
            <w:tcW w:type="dxa" w:w="1234"/>
          </w:tcPr>
          <w:p>
            <w:r>
              <w:t>0.361</w:t>
            </w:r>
          </w:p>
        </w:tc>
        <w:tc>
          <w:tcPr>
            <w:tcW w:type="dxa" w:w="1234"/>
          </w:tcPr>
          <w:p>
            <w:r>
              <w:t>0.417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Abdominal obesity (exposure)</w:t>
            </w:r>
          </w:p>
        </w:tc>
        <w:tc>
          <w:tcPr>
            <w:tcW w:type="dxa" w:w="4320"/>
          </w:tcPr>
          <w:p>
            <w:r>
              <w:t>57.1%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