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 mass, kg and eGFR (CKD-EPI 2021), mL/min/1.73m2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Appendicular skeletal muscle mass, kg was inversely associated with eGFR (CKD-EPI 2021), mL/min/1.73m2 (beta coefficient per 1-SD -3.93 (95% CI -4.59 to -3.26), false discovery rate q &lt;0.001) among 22274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-3.93 (95% CI -4.59 to -3.26)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22274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Appendicular skeletal muscle mass, kg (exposure)</w:t>
            </w:r>
          </w:p>
        </w:tc>
        <w:tc>
          <w:tcPr>
            <w:tcW w:type="dxa" w:w="4320"/>
          </w:tcPr>
          <w:p>
            <w:r>
              <w:t>24.2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42.6%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