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mass index, kg/m2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Body mass index, kg/m2 was positively associated with Elevated ALT (&gt;40 IU/L) (odds ratio per 1-SD 1.53 (95% CI 1.45 to 1.61), false discovery rate q &lt;0.001) among 24922 adults aged 20 years or older (a weighted Elevated ALT (&gt;40 IU/L) prevalence of 9.8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1.53 (95% CI 1.45 to 1.61)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Body mass index, kg/m2 (exposure)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