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Controlled attenuation parameter, dB/m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Controlled attenuation parameter, dB/m was positively associated with Elevated ALT (&gt;40 IU/L) (odds ratio per 1-SD 1.81 (95% CI 1.36 to 2.41), false discovery rate q 0.005)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1.81 (95% CI 1.36 to 2.41)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Controlled attenuation parameter, dB/m (exposure)</w:t>
            </w:r>
          </w:p>
        </w:tc>
        <w:tc>
          <w:tcPr>
            <w:tcW w:type="dxa" w:w="2160"/>
          </w:tcPr>
          <w:p>
            <w:r>
              <w:t>263.3</w:t>
            </w:r>
          </w:p>
        </w:tc>
        <w:tc>
          <w:tcPr>
            <w:tcW w:type="dxa" w:w="2160"/>
          </w:tcPr>
          <w:p>
            <w:r>
              <w:t>259.4</w:t>
            </w:r>
          </w:p>
        </w:tc>
        <w:tc>
          <w:tcPr>
            <w:tcW w:type="dxa" w:w="2160"/>
          </w:tcPr>
          <w:p>
            <w:r>
              <w:t>297.4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