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eGFR (CKD-EPI 2021), mL/min/1.73m2 and Elevated ALT (&gt;40 IU/L)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eGFR (CKD-EPI 2021), mL/min/1.73m2 was positively associated with Elevated ALT (&gt;40 IU/L) (odds ratio per 1-SD 1.24 (95% CI 1.11 to 1.39), false discovery rate q &lt;0.001) among 24922 adults aged 20 years or older (a weighted Elevated ALT (&gt;40 IU/L) prevalence of 9.8 percent, survey-weighted). Confounders: Age, years, Male sex, Body mass index, kg/m2,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 and smoking (alcohol is a key hepatic confounder). Adjustment for this exposure: Age, years, Male sex, Body mass index, kg/m2,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Elevated ALT (&gt;40 IU/L)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1.24 (95% CI 1.11 to 1.39)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24922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Elevated ALT (&gt;40 IU/L)</w:t>
            </w:r>
          </w:p>
        </w:tc>
        <w:tc>
          <w:tcPr>
            <w:tcW w:type="dxa" w:w="2160"/>
          </w:tcPr>
          <w:p>
            <w:r>
              <w:t>Elevated ALT (&gt;40 IU/L)</w:t>
            </w:r>
          </w:p>
        </w:tc>
      </w:tr>
      <w:tr>
        <w:tc>
          <w:tcPr>
            <w:tcW w:type="dxa" w:w="2160"/>
          </w:tcPr>
          <w:p>
            <w:r>
              <w:t>eGFR (CKD-EPI 2021), mL/min/1.73m2 (exposure)</w:t>
            </w:r>
          </w:p>
        </w:tc>
        <w:tc>
          <w:tcPr>
            <w:tcW w:type="dxa" w:w="2160"/>
          </w:tcPr>
          <w:p>
            <w:r>
              <w:t>96.1</w:t>
            </w:r>
          </w:p>
        </w:tc>
        <w:tc>
          <w:tcPr>
            <w:tcW w:type="dxa" w:w="2160"/>
          </w:tcPr>
          <w:p>
            <w:r>
              <w:t>95.6</w:t>
            </w:r>
          </w:p>
        </w:tc>
        <w:tc>
          <w:tcPr>
            <w:tcW w:type="dxa" w:w="2160"/>
          </w:tcPr>
          <w:p>
            <w:r>
              <w:t>101.4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48.1</w:t>
            </w:r>
          </w:p>
        </w:tc>
        <w:tc>
          <w:tcPr>
            <w:tcW w:type="dxa" w:w="2160"/>
          </w:tcPr>
          <w:p>
            <w:r>
              <w:t>43.0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45.4%</w:t>
            </w:r>
          </w:p>
        </w:tc>
        <w:tc>
          <w:tcPr>
            <w:tcW w:type="dxa" w:w="2160"/>
          </w:tcPr>
          <w:p>
            <w:r>
              <w:t>73.4%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28.8</w:t>
            </w:r>
          </w:p>
        </w:tc>
        <w:tc>
          <w:tcPr>
            <w:tcW w:type="dxa" w:w="2160"/>
          </w:tcPr>
          <w:p>
            <w:r>
              <w:t>31.7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80.3%</w:t>
            </w:r>
          </w:p>
        </w:tc>
        <w:tc>
          <w:tcPr>
            <w:tcW w:type="dxa" w:w="2160"/>
          </w:tcPr>
          <w:p>
            <w:r>
              <w:t>85.1%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42.9%</w:t>
            </w:r>
          </w:p>
        </w:tc>
        <w:tc>
          <w:tcPr>
            <w:tcW w:type="dxa" w:w="2160"/>
          </w:tcPr>
          <w:p>
            <w:r>
              <w:t>47.0%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