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positively associated with Elevated ALT (&gt;40 IU/L) (odds ratio per 1-SD 1.18 (95% CI 1.08 to 1.29), false discovery rate q &lt;0.001) among 24922 adults aged 20 years or older (a weighted Elevated ALT (&gt;40 IU/L) prevalence of 9.8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1.18 (95% CI 1.08 to 1.29)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113.7</w:t>
            </w:r>
          </w:p>
        </w:tc>
        <w:tc>
          <w:tcPr>
            <w:tcW w:type="dxa" w:w="2160"/>
          </w:tcPr>
          <w:p>
            <w:r>
              <w:t>113.2</w:t>
            </w:r>
          </w:p>
        </w:tc>
        <w:tc>
          <w:tcPr>
            <w:tcW w:type="dxa" w:w="2160"/>
          </w:tcPr>
          <w:p>
            <w:r>
              <w:t>118.6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