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Metabolic syndrome was positively associated with Elevated ALT (&gt;40 IU/L) (odds ratio 2.22 (95% CI 1.82 to 2.70),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2.22 (95% CI 1.82 to 2.70)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Metabolic syndrome (exposure)</w:t>
            </w:r>
          </w:p>
        </w:tc>
        <w:tc>
          <w:tcPr>
            <w:tcW w:type="dxa" w:w="2160"/>
          </w:tcPr>
          <w:p>
            <w:r>
              <w:t>37.4%</w:t>
            </w:r>
          </w:p>
        </w:tc>
        <w:tc>
          <w:tcPr>
            <w:tcW w:type="dxa" w:w="2160"/>
          </w:tcPr>
          <w:p>
            <w:r>
              <w:t>35.4%</w:t>
            </w:r>
          </w:p>
        </w:tc>
        <w:tc>
          <w:tcPr>
            <w:tcW w:type="dxa" w:w="2160"/>
          </w:tcPr>
          <w:p>
            <w:r>
              <w:t>55.5%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