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Elevated ALT (&gt;40 IU/L)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Non-HDL cholesterol, mg/dL was positively associated with Elevated ALT (&gt;40 IU/L) (odds ratio per 1-SD 1.32 (95% CI 1.24 to 1.40), false discovery rate q &lt;0.001) among 24922 adults aged 20 years or older (a weighted Elevated ALT (&gt;40 IU/L) prevalence of 9.8 percent, survey-weighted). Confounders: Age, years, Male sex, Body mass index, kg/m2, Ever alcohol (past/current), Ever smoking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 and smoking (alcohol is a key hepatic confounder). Adjustment for this exposure: Age, years, Male sex, Body mass index, kg/m2, Ever alcohol (past/current), Ever smoking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Elevated ALT (&gt;40 IU/L)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1.32 (95% CI 1.24 to 1.40)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24922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Elevated ALT (&gt;40 IU/L)</w:t>
            </w:r>
          </w:p>
        </w:tc>
        <w:tc>
          <w:tcPr>
            <w:tcW w:type="dxa" w:w="2160"/>
          </w:tcPr>
          <w:p>
            <w:r>
              <w:t>Elevated ALT (&gt;40 IU/L)</w:t>
            </w:r>
          </w:p>
        </w:tc>
      </w:tr>
      <w:tr>
        <w:tc>
          <w:tcPr>
            <w:tcW w:type="dxa" w:w="2160"/>
          </w:tcPr>
          <w:p>
            <w:r>
              <w:t>Non-HDL cholesterol, mg/dL (exposure)</w:t>
            </w:r>
          </w:p>
        </w:tc>
        <w:tc>
          <w:tcPr>
            <w:tcW w:type="dxa" w:w="2160"/>
          </w:tcPr>
          <w:p>
            <w:r>
              <w:t>139.9</w:t>
            </w:r>
          </w:p>
        </w:tc>
        <w:tc>
          <w:tcPr>
            <w:tcW w:type="dxa" w:w="2160"/>
          </w:tcPr>
          <w:p>
            <w:r>
              <w:t>138.5</w:t>
            </w:r>
          </w:p>
        </w:tc>
        <w:tc>
          <w:tcPr>
            <w:tcW w:type="dxa" w:w="2160"/>
          </w:tcPr>
          <w:p>
            <w:r>
              <w:t>153.1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48.1</w:t>
            </w:r>
          </w:p>
        </w:tc>
        <w:tc>
          <w:tcPr>
            <w:tcW w:type="dxa" w:w="2160"/>
          </w:tcPr>
          <w:p>
            <w:r>
              <w:t>43.0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45.4%</w:t>
            </w:r>
          </w:p>
        </w:tc>
        <w:tc>
          <w:tcPr>
            <w:tcW w:type="dxa" w:w="2160"/>
          </w:tcPr>
          <w:p>
            <w:r>
              <w:t>73.4%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28.8</w:t>
            </w:r>
          </w:p>
        </w:tc>
        <w:tc>
          <w:tcPr>
            <w:tcW w:type="dxa" w:w="2160"/>
          </w:tcPr>
          <w:p>
            <w:r>
              <w:t>31.7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80.3%</w:t>
            </w:r>
          </w:p>
        </w:tc>
        <w:tc>
          <w:tcPr>
            <w:tcW w:type="dxa" w:w="2160"/>
          </w:tcPr>
          <w:p>
            <w:r>
              <w:t>85.1%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42.9%</w:t>
            </w:r>
          </w:p>
        </w:tc>
        <w:tc>
          <w:tcPr>
            <w:tcW w:type="dxa" w:w="2160"/>
          </w:tcPr>
          <w:p>
            <w:r>
              <w:t>47.0%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