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Elevated ALT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Osteoporosis (T-score&lt;=-2.5, age&gt;=50) was positively associated with Elevated ALT (&gt;40 IU/L) (odds ratio 1.03 (95% CI 0.54 to 1.97), false discovery rate q 0.931) among 24922 adults aged 20 years or older (a weighted Elevated ALT (&gt;40 IU/L) prevalence of 9.8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1.03 (95% CI 0.54 to 1.97)</w:t>
            </w:r>
          </w:p>
        </w:tc>
        <w:tc>
          <w:tcPr>
            <w:tcW w:type="dxa" w:w="1234"/>
          </w:tcPr>
          <w:p>
            <w:r>
              <w:t>0.918</w:t>
            </w:r>
          </w:p>
        </w:tc>
        <w:tc>
          <w:tcPr>
            <w:tcW w:type="dxa" w:w="1234"/>
          </w:tcPr>
          <w:p>
            <w:r>
              <w:t>0.931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Osteoporosis (T-score&lt;=-2.5, age&gt;=50) (exposure)</w:t>
            </w:r>
          </w:p>
        </w:tc>
        <w:tc>
          <w:tcPr>
            <w:tcW w:type="dxa" w:w="2160"/>
          </w:tcPr>
          <w:p>
            <w:r>
              <w:t>8.7%</w:t>
            </w:r>
          </w:p>
        </w:tc>
        <w:tc>
          <w:tcPr>
            <w:tcW w:type="dxa" w:w="2160"/>
          </w:tcPr>
          <w:p>
            <w:r>
              <w:t>9.0%</w:t>
            </w:r>
          </w:p>
        </w:tc>
        <w:tc>
          <w:tcPr>
            <w:tcW w:type="dxa" w:w="2160"/>
          </w:tcPr>
          <w:p>
            <w:r>
              <w:t>4.7%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31.7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80.3%</w:t>
            </w:r>
          </w:p>
        </w:tc>
        <w:tc>
          <w:tcPr>
            <w:tcW w:type="dxa" w:w="2160"/>
          </w:tcPr>
          <w:p>
            <w:r>
              <w:t>85.1%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