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Total lean mass, kg and Elevated ALT (&gt;40 IU/L)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Total lean mass, kg was positively associated with Elevated ALT (&gt;40 IU/L) (odds ratio per 1-SD 1.60 (95% CI 1.43 to 1.80), false discovery rate q &lt;0.001) among 24922 adults aged 20 years or older (a weighted Elevated ALT (&gt;40 IU/L) prevalence of 9.8 percent, survey-weighted). Confounders: Age, years, Male sex, Ever alcohol (past/current), Ever smoking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alcohol and smoking (alcohol is a key hepatic confounder). Adjustment for this exposure: Age, years, Male sex, Ever alcohol (past/current), Ever smoking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Total lean mass, kg</w:t>
            </w:r>
          </w:p>
        </w:tc>
        <w:tc>
          <w:tcPr>
            <w:tcW w:type="dxa" w:w="1234"/>
          </w:tcPr>
          <w:p>
            <w:r>
              <w:t>Elevated ALT (&gt;40 IU/L)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1.60 (95% CI 1.43 to 1.80)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24922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Elevated ALT (&gt;40 IU/L)</w:t>
            </w:r>
          </w:p>
        </w:tc>
        <w:tc>
          <w:tcPr>
            <w:tcW w:type="dxa" w:w="2160"/>
          </w:tcPr>
          <w:p>
            <w:r>
              <w:t>Elevated ALT (&gt;40 IU/L)</w:t>
            </w:r>
          </w:p>
        </w:tc>
      </w:tr>
      <w:tr>
        <w:tc>
          <w:tcPr>
            <w:tcW w:type="dxa" w:w="2160"/>
          </w:tcPr>
          <w:p>
            <w:r>
              <w:t>Total lean mass, kg (exposure)</w:t>
            </w:r>
          </w:p>
        </w:tc>
        <w:tc>
          <w:tcPr>
            <w:tcW w:type="dxa" w:w="2160"/>
          </w:tcPr>
          <w:p>
            <w:r>
              <w:t>54.8</w:t>
            </w:r>
          </w:p>
        </w:tc>
        <w:tc>
          <w:tcPr>
            <w:tcW w:type="dxa" w:w="2160"/>
          </w:tcPr>
          <w:p>
            <w:r>
              <w:t>53.8</w:t>
            </w:r>
          </w:p>
        </w:tc>
        <w:tc>
          <w:tcPr>
            <w:tcW w:type="dxa" w:w="2160"/>
          </w:tcPr>
          <w:p>
            <w:r>
              <w:t>62.2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48.1</w:t>
            </w:r>
          </w:p>
        </w:tc>
        <w:tc>
          <w:tcPr>
            <w:tcW w:type="dxa" w:w="2160"/>
          </w:tcPr>
          <w:p>
            <w:r>
              <w:t>43.0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48.1%</w:t>
            </w:r>
          </w:p>
        </w:tc>
        <w:tc>
          <w:tcPr>
            <w:tcW w:type="dxa" w:w="2160"/>
          </w:tcPr>
          <w:p>
            <w:r>
              <w:t>45.4%</w:t>
            </w:r>
          </w:p>
        </w:tc>
        <w:tc>
          <w:tcPr>
            <w:tcW w:type="dxa" w:w="2160"/>
          </w:tcPr>
          <w:p>
            <w:r>
              <w:t>73.4%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28.8</w:t>
            </w:r>
          </w:p>
        </w:tc>
        <w:tc>
          <w:tcPr>
            <w:tcW w:type="dxa" w:w="2160"/>
          </w:tcPr>
          <w:p>
            <w:r>
              <w:t>31.7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80.3%</w:t>
            </w:r>
          </w:p>
        </w:tc>
        <w:tc>
          <w:tcPr>
            <w:tcW w:type="dxa" w:w="2160"/>
          </w:tcPr>
          <w:p>
            <w:r>
              <w:t>85.1%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43.3%</w:t>
            </w:r>
          </w:p>
        </w:tc>
        <w:tc>
          <w:tcPr>
            <w:tcW w:type="dxa" w:w="2160"/>
          </w:tcPr>
          <w:p>
            <w:r>
              <w:t>42.9%</w:t>
            </w:r>
          </w:p>
        </w:tc>
        <w:tc>
          <w:tcPr>
            <w:tcW w:type="dxa" w:w="2160"/>
          </w:tcPr>
          <w:p>
            <w:r>
              <w:t>47.0%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