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Elevated AST (&gt;40 IU/L) (odds ratio per 1-SD 1.20 (95% CI 0.98 to 1.46), false discovery rate q 0.115) among 24907 adults aged 20 years or older (a weighted Elevated AST (&gt;40 IU/L) prevalence of 5.3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1.20 (95% CI 0.98 to 1.46)</w:t>
            </w:r>
          </w:p>
        </w:tc>
        <w:tc>
          <w:tcPr>
            <w:tcW w:type="dxa" w:w="1234"/>
          </w:tcPr>
          <w:p>
            <w:r>
              <w:t>0.087</w:t>
            </w:r>
          </w:p>
        </w:tc>
        <w:tc>
          <w:tcPr>
            <w:tcW w:type="dxa" w:w="1234"/>
          </w:tcPr>
          <w:p>
            <w:r>
              <w:t>0.115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Body fat, % (exposure)</w:t>
            </w:r>
          </w:p>
        </w:tc>
        <w:tc>
          <w:tcPr>
            <w:tcW w:type="dxa" w:w="2160"/>
          </w:tcPr>
          <w:p>
            <w:r>
              <w:t>33.1</w:t>
            </w:r>
          </w:p>
        </w:tc>
        <w:tc>
          <w:tcPr>
            <w:tcW w:type="dxa" w:w="2160"/>
          </w:tcPr>
          <w:p>
            <w:r>
              <w:t>33.2</w:t>
            </w:r>
          </w:p>
        </w:tc>
        <w:tc>
          <w:tcPr>
            <w:tcW w:type="dxa" w:w="2160"/>
          </w:tcPr>
          <w:p>
            <w:r>
              <w:t>32.1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