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Elevated AST (&gt;40 IU/L) (odds ratio 1.41 (95% CI 1.17 to 1.71), false discovery rate q &lt;0.001) among 24907 adults aged 20 years or older (a weighted Elevated AST (&gt;40 IU/L) prevalence of 5.3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1.17 to 1.71)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19.0%</w:t>
            </w:r>
          </w:p>
        </w:tc>
        <w:tc>
          <w:tcPr>
            <w:tcW w:type="dxa" w:w="2160"/>
          </w:tcPr>
          <w:p>
            <w:r>
              <w:t>26.1%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