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positively associated with Elevated AST (&gt;40 IU/L) (odds ratio per 1-SD 1.21 (95% CI 1.10 to 1.33), false discovery rate q &lt;0.001) among 24907 adults aged 20 years or older (a weighted Elevated AST (&gt;40 IU/L) prevalence of 5.3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1.21 (95% CI 1.10 to 1.33)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Diastolic blood pressure, mmHg (exposure)</w:t>
            </w:r>
          </w:p>
        </w:tc>
        <w:tc>
          <w:tcPr>
            <w:tcW w:type="dxa" w:w="2160"/>
          </w:tcPr>
          <w:p>
            <w:r>
              <w:t>71.5</w:t>
            </w:r>
          </w:p>
        </w:tc>
        <w:tc>
          <w:tcPr>
            <w:tcW w:type="dxa" w:w="2160"/>
          </w:tcPr>
          <w:p>
            <w:r>
              <w:t>71.4</w:t>
            </w:r>
          </w:p>
        </w:tc>
        <w:tc>
          <w:tcPr>
            <w:tcW w:type="dxa" w:w="2160"/>
          </w:tcPr>
          <w:p>
            <w:r>
              <w:t>74.3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