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Elevated AST (&gt;40 IU/L) (odds ratio per 1-SD 1.23 (95% CI 1.05 to 1.45), false discovery rate q 0.019)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1.23 (95% CI 1.05 to 1.45)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96.1</w:t>
            </w:r>
          </w:p>
        </w:tc>
        <w:tc>
          <w:tcPr>
            <w:tcW w:type="dxa" w:w="2160"/>
          </w:tcPr>
          <w:p>
            <w:r>
              <w:t>95.9</w:t>
            </w:r>
          </w:p>
        </w:tc>
        <w:tc>
          <w:tcPr>
            <w:tcW w:type="dxa" w:w="2160"/>
          </w:tcPr>
          <w:p>
            <w:r>
              <w:t>99.3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