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Elevated AST (&gt;40 IU/L) (odds ratio per 1-SD 1.12 (95% CI 0.99 to 1.26), false discovery rate q 0.086)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0.99 to 1.26)</w:t>
            </w:r>
          </w:p>
        </w:tc>
        <w:tc>
          <w:tcPr>
            <w:tcW w:type="dxa" w:w="1234"/>
          </w:tcPr>
          <w:p>
            <w:r>
              <w:t>0.064</w:t>
            </w:r>
          </w:p>
        </w:tc>
        <w:tc>
          <w:tcPr>
            <w:tcW w:type="dxa" w:w="1234"/>
          </w:tcPr>
          <w:p>
            <w:r>
              <w:t>0.086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53.8</w:t>
            </w:r>
          </w:p>
        </w:tc>
        <w:tc>
          <w:tcPr>
            <w:tcW w:type="dxa" w:w="2160"/>
          </w:tcPr>
          <w:p>
            <w:r>
              <w:t>53.8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