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Elevated AST (&gt;40 IU/L) (odds ratio 1.71 (95% CI 1.40 to 2.09), false discovery rate q &lt;0.001)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1.71 (95% CI 1.40 to 2.09)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36.1%</w:t>
            </w:r>
          </w:p>
        </w:tc>
        <w:tc>
          <w:tcPr>
            <w:tcW w:type="dxa" w:w="2160"/>
          </w:tcPr>
          <w:p>
            <w:r>
              <w:t>35.5%</w:t>
            </w:r>
          </w:p>
        </w:tc>
        <w:tc>
          <w:tcPr>
            <w:tcW w:type="dxa" w:w="2160"/>
          </w:tcPr>
          <w:p>
            <w:r>
              <w:t>45.7%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