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Elevated AST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Elevated AST (&gt;40 IU/L) (odds ratio 1.36 (95% CI 1.12 to 1.64), false discovery rate q 0.003) among 24907 adults aged 20 years or older (a weighted Elevated AST (&gt;40 IU/L) prevalence of 5.3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1.12 to 1.64)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24907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AST (&gt;40 IU/L)</w:t>
            </w:r>
          </w:p>
        </w:tc>
        <w:tc>
          <w:tcPr>
            <w:tcW w:type="dxa" w:w="2160"/>
          </w:tcPr>
          <w:p>
            <w:r>
              <w:t>Elevated AST (&gt;40 IU/L)</w:t>
            </w:r>
          </w:p>
        </w:tc>
      </w:tr>
      <w:tr>
        <w:tc>
          <w:tcPr>
            <w:tcW w:type="dxa" w:w="2160"/>
          </w:tcPr>
          <w:p>
            <w:r>
              <w:t>Low HDL cholesterol (exposure)</w:t>
            </w:r>
          </w:p>
        </w:tc>
        <w:tc>
          <w:tcPr>
            <w:tcW w:type="dxa" w:w="2160"/>
          </w:tcPr>
          <w:p>
            <w:r>
              <w:t>29.1%</w:t>
            </w:r>
          </w:p>
        </w:tc>
        <w:tc>
          <w:tcPr>
            <w:tcW w:type="dxa" w:w="2160"/>
          </w:tcPr>
          <w:p>
            <w:r>
              <w:t>28.7%</w:t>
            </w:r>
          </w:p>
        </w:tc>
        <w:tc>
          <w:tcPr>
            <w:tcW w:type="dxa" w:w="2160"/>
          </w:tcPr>
          <w:p>
            <w:r>
              <w:t>36.9%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47.2%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30.5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80.5%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52.0%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