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Elevated AST (&gt;40 IU/L) (odds ratio 0.69 (95% CI 0.33 to 1.44), false discovery rate q 0.382)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0.69 (95% CI 0.33 to 1.44)</w:t>
            </w:r>
          </w:p>
        </w:tc>
        <w:tc>
          <w:tcPr>
            <w:tcW w:type="dxa" w:w="1234"/>
          </w:tcPr>
          <w:p>
            <w:r>
              <w:t>0.327</w:t>
            </w:r>
          </w:p>
        </w:tc>
        <w:tc>
          <w:tcPr>
            <w:tcW w:type="dxa" w:w="1234"/>
          </w:tcPr>
          <w:p>
            <w:r>
              <w:t>0.382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