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Elevated AST (&gt;40 IU/L) (odds ratio per 1-SD 0.95 (95% CI 0.81 to 1.11), false discovery rate q 0.548)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0.81 to 1.11)</w:t>
            </w:r>
          </w:p>
        </w:tc>
        <w:tc>
          <w:tcPr>
            <w:tcW w:type="dxa" w:w="1234"/>
          </w:tcPr>
          <w:p>
            <w:r>
              <w:t>0.491</w:t>
            </w:r>
          </w:p>
        </w:tc>
        <w:tc>
          <w:tcPr>
            <w:tcW w:type="dxa" w:w="1234"/>
          </w:tcPr>
          <w:p>
            <w:r>
              <w:t>0.548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