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Elevated AST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Male sex was positively associated with Elevated AST (&gt;40 IU/L) (odds ratio 1.96 (95% CI 1.67 to 2.29), false discovery rate q &lt;0.001) among 24907 adults aged 20 years or older (a weighted Elevated AST (&gt;40 IU/L) prevalence of 5.3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1.96 (95% CI 1.67 to 2.29)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Male sex (exposure)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47.2%</w:t>
            </w:r>
          </w:p>
        </w:tc>
        <w:tc>
          <w:tcPr>
            <w:tcW w:type="dxa" w:w="2160"/>
          </w:tcPr>
          <w:p>
            <w:r>
              <w:t>63.7%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47.2%</w:t>
            </w:r>
          </w:p>
        </w:tc>
        <w:tc>
          <w:tcPr>
            <w:tcW w:type="dxa" w:w="2160"/>
          </w:tcPr>
          <w:p>
            <w:r>
              <w:t>63.7%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80.5%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