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Osteoporosis (T-score&lt;=-2.5, age&gt;=50) and Elevated AST (&gt;40 IU/L)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Osteoporosis (T-score&lt;=-2.5, age&gt;=50) was inversely associated with Elevated AST (&gt;40 IU/L) (odds ratio 0.84 (95% CI 0.44 to 1.62), false discovery rate q 0.659) among 24907 adults aged 20 years or older (a weighted Elevated AST (&gt;40 IU/L) prevalence of 5.3 percent, survey-weighted). Confounders: Age, years, Male sex, Body mass index, kg/m2, Ever alcohol (past/current),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 and smoking (alcohol is a key hepatic confounder). Adjustment for this exposure: Age, years, Male sex, Body mass index, kg/m2, Ever alcohol (past/current),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Osteoporosis (T-score&lt;=-2.5, age&gt;=50)</w:t>
            </w:r>
          </w:p>
        </w:tc>
        <w:tc>
          <w:tcPr>
            <w:tcW w:type="dxa" w:w="1234"/>
          </w:tcPr>
          <w:p>
            <w:r>
              <w:t>Elevated AST (&gt;40 IU/L)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0.84 (95% CI 0.44 to 1.62)</w:t>
            </w:r>
          </w:p>
        </w:tc>
        <w:tc>
          <w:tcPr>
            <w:tcW w:type="dxa" w:w="1234"/>
          </w:tcPr>
          <w:p>
            <w:r>
              <w:t>0.610</w:t>
            </w:r>
          </w:p>
        </w:tc>
        <w:tc>
          <w:tcPr>
            <w:tcW w:type="dxa" w:w="1234"/>
          </w:tcPr>
          <w:p>
            <w:r>
              <w:t>0.659</w:t>
            </w:r>
          </w:p>
        </w:tc>
        <w:tc>
          <w:tcPr>
            <w:tcW w:type="dxa" w:w="1234"/>
          </w:tcPr>
          <w:p>
            <w:r>
              <w:t>24907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Elevated AST (&gt;40 IU/L)</w:t>
            </w:r>
          </w:p>
        </w:tc>
        <w:tc>
          <w:tcPr>
            <w:tcW w:type="dxa" w:w="2160"/>
          </w:tcPr>
          <w:p>
            <w:r>
              <w:t>Elevated AST (&gt;40 IU/L)</w:t>
            </w:r>
          </w:p>
        </w:tc>
      </w:tr>
      <w:tr>
        <w:tc>
          <w:tcPr>
            <w:tcW w:type="dxa" w:w="2160"/>
          </w:tcPr>
          <w:p>
            <w:r>
              <w:t>Osteoporosis (T-score&lt;=-2.5, age&gt;=50) (exposure)</w:t>
            </w:r>
          </w:p>
        </w:tc>
        <w:tc>
          <w:tcPr>
            <w:tcW w:type="dxa" w:w="2160"/>
          </w:tcPr>
          <w:p>
            <w:r>
              <w:t>8.7%</w:t>
            </w:r>
          </w:p>
        </w:tc>
        <w:tc>
          <w:tcPr>
            <w:tcW w:type="dxa" w:w="2160"/>
          </w:tcPr>
          <w:p>
            <w:r>
              <w:t>8.8%</w:t>
            </w:r>
          </w:p>
        </w:tc>
        <w:tc>
          <w:tcPr>
            <w:tcW w:type="dxa" w:w="2160"/>
          </w:tcPr>
          <w:p>
            <w:r>
              <w:t>5.2%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46.1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47.2%</w:t>
            </w:r>
          </w:p>
        </w:tc>
        <w:tc>
          <w:tcPr>
            <w:tcW w:type="dxa" w:w="2160"/>
          </w:tcPr>
          <w:p>
            <w:r>
              <w:t>63.7%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29.0</w:t>
            </w:r>
          </w:p>
        </w:tc>
        <w:tc>
          <w:tcPr>
            <w:tcW w:type="dxa" w:w="2160"/>
          </w:tcPr>
          <w:p>
            <w:r>
              <w:t>30.5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80.5%</w:t>
            </w:r>
          </w:p>
        </w:tc>
        <w:tc>
          <w:tcPr>
            <w:tcW w:type="dxa" w:w="2160"/>
          </w:tcPr>
          <w:p>
            <w:r>
              <w:t>84.7%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42.9%</w:t>
            </w:r>
          </w:p>
        </w:tc>
        <w:tc>
          <w:tcPr>
            <w:tcW w:type="dxa" w:w="2160"/>
          </w:tcPr>
          <w:p>
            <w:r>
              <w:t>52.0%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