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inversely associated with Elevated AST (&gt;40 IU/L) (odds ratio 0.91 (95% CI 0.78 to 1.06), false discovery rate q 0.287)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0.78 to 1.06)</w:t>
            </w:r>
          </w:p>
        </w:tc>
        <w:tc>
          <w:tcPr>
            <w:tcW w:type="dxa" w:w="1234"/>
          </w:tcPr>
          <w:p>
            <w:r>
              <w:t>0.238</w:t>
            </w:r>
          </w:p>
        </w:tc>
        <w:tc>
          <w:tcPr>
            <w:tcW w:type="dxa" w:w="1234"/>
          </w:tcPr>
          <w:p>
            <w:r>
              <w:t>0.287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  <w:tc>
          <w:tcPr>
            <w:tcW w:type="dxa" w:w="2160"/>
          </w:tcPr>
          <w:p>
            <w:r>
              <w:t>31.9%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