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Elevated AST (&gt;40 IU/L) (odds ratio per 1-SD 0.96 (95% CI 0.85 to 1.08), false discovery rate q 0.547) among 24907 adults aged 20 years or older (a weighted Elevated AST (&gt;40 IU/L) prevalence of 5.3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0.96 (95% CI 0.85 to 1.08)</w:t>
            </w:r>
          </w:p>
        </w:tc>
        <w:tc>
          <w:tcPr>
            <w:tcW w:type="dxa" w:w="1234"/>
          </w:tcPr>
          <w:p>
            <w:r>
              <w:t>0.489</w:t>
            </w:r>
          </w:p>
        </w:tc>
        <w:tc>
          <w:tcPr>
            <w:tcW w:type="dxa" w:w="1234"/>
          </w:tcPr>
          <w:p>
            <w:r>
              <w:t>0.547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28.2</w:t>
            </w:r>
          </w:p>
        </w:tc>
        <w:tc>
          <w:tcPr>
            <w:tcW w:type="dxa" w:w="2160"/>
          </w:tcPr>
          <w:p>
            <w:r>
              <w:t>28.3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