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Elevated AST (&gt;40 IU/L) (odds ratio per 1-SD 1.10 (95% CI 1.02 to 1.19), false discovery rate q 0.025)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1.02 to 1.19)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193.7</w:t>
            </w:r>
          </w:p>
        </w:tc>
        <w:tc>
          <w:tcPr>
            <w:tcW w:type="dxa" w:w="2160"/>
          </w:tcPr>
          <w:p>
            <w:r>
              <w:t>193.5</w:t>
            </w:r>
          </w:p>
        </w:tc>
        <w:tc>
          <w:tcPr>
            <w:tcW w:type="dxa" w:w="2160"/>
          </w:tcPr>
          <w:p>
            <w:r>
              <w:t>196.4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