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Elevated AST (&gt;40 IU/L) (odds ratio per 1-SD 1.20 (95% CI 1.10 to 1.30), false discovery rate q &lt;0.001)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1.10 to 1.30)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124.0</w:t>
            </w:r>
          </w:p>
        </w:tc>
        <w:tc>
          <w:tcPr>
            <w:tcW w:type="dxa" w:w="2160"/>
          </w:tcPr>
          <w:p>
            <w:r>
              <w:t>122.0</w:t>
            </w:r>
          </w:p>
        </w:tc>
        <w:tc>
          <w:tcPr>
            <w:tcW w:type="dxa" w:w="2160"/>
          </w:tcPr>
          <w:p>
            <w:r>
              <w:t>162.0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