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muscle, % was positively associated with Ever alcohol (past/current) (odds ratio per 1-SD 1.40 (95% CI 1.22 to 1.60), false discovery rate q &lt;0.001) among 24112 adults aged 20 years or older (a weighted Ever alcohol (past/current) prevalence of 80.6 percent, survey-weighted). Confounders: Age, years, Male sex,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1.40 (95% CI 1.22 to 1.60)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Appendicular skeletal muscle, % (exposure)</w:t>
            </w:r>
          </w:p>
        </w:tc>
        <w:tc>
          <w:tcPr>
            <w:tcW w:type="dxa" w:w="2160"/>
          </w:tcPr>
          <w:p>
            <w:r>
              <w:t>29.4</w:t>
            </w:r>
          </w:p>
        </w:tc>
        <w:tc>
          <w:tcPr>
            <w:tcW w:type="dxa" w:w="2160"/>
          </w:tcPr>
          <w:p>
            <w:r>
              <w:t>27.7</w:t>
            </w:r>
          </w:p>
        </w:tc>
        <w:tc>
          <w:tcPr>
            <w:tcW w:type="dxa" w:w="2160"/>
          </w:tcPr>
          <w:p>
            <w:r>
              <w:t>29.8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