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inversely associated with Ever alcohol (past/current) (odds ratio per 1-SD 0.93 (95% CI 0.89 to 0.97), false discovery rate q &lt;0.001) among 24112 adults aged 20 years or older (a weighted Ever alcohol (past/current) prevalence of 80.6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0.89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