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inversely associated with Ever alcohol (past/current) (odds ratio per 1-SD 0.70 (95% CI 0.53 to 0.94), false discovery rate q 0.052)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0.53 to 0.94)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263.3</w:t>
            </w:r>
          </w:p>
        </w:tc>
        <w:tc>
          <w:tcPr>
            <w:tcW w:type="dxa" w:w="2160"/>
          </w:tcPr>
          <w:p>
            <w:r>
              <w:t>266.6</w:t>
            </w:r>
          </w:p>
        </w:tc>
        <w:tc>
          <w:tcPr>
            <w:tcW w:type="dxa" w:w="2160"/>
          </w:tcPr>
          <w:p>
            <w:r>
              <w:t>263.1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