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inversely associated with Ever alcohol (past/current) (odds ratio 0.66 (95% CI 0.58 to 0.75), false discovery rate q &lt;0.001)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0.66 (95% CI 0.58 to 0.75)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Diabetes mellitus (exposure)</w:t>
            </w:r>
          </w:p>
        </w:tc>
        <w:tc>
          <w:tcPr>
            <w:tcW w:type="dxa" w:w="2160"/>
          </w:tcPr>
          <w:p>
            <w:r>
              <w:t>12.6%</w:t>
            </w:r>
          </w:p>
        </w:tc>
        <w:tc>
          <w:tcPr>
            <w:tcW w:type="dxa" w:w="2160"/>
          </w:tcPr>
          <w:p>
            <w:r>
              <w:t>17.2%</w:t>
            </w:r>
          </w:p>
        </w:tc>
        <w:tc>
          <w:tcPr>
            <w:tcW w:type="dxa" w:w="2160"/>
          </w:tcPr>
          <w:p>
            <w:r>
              <w:t>11.5%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