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Ever alcohol (past/current)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Ever alcohol (past/current) (odds ratio 1.04 (95% CI 0.89 to 1.21), false discovery rate q 0.693) among 24112 adults aged 20 years or older (a weighted Ever alcohol (past/current) prevalence of 80.6 percent, survey-weighted). Confounders: Age, years, Male sex, Ever smoking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1.04 (95% CI 0.89 to 1.21)</w:t>
            </w:r>
          </w:p>
        </w:tc>
        <w:tc>
          <w:tcPr>
            <w:tcW w:type="dxa" w:w="1234"/>
          </w:tcPr>
          <w:p>
            <w:r>
              <w:t>0.649</w:t>
            </w:r>
          </w:p>
        </w:tc>
        <w:tc>
          <w:tcPr>
            <w:tcW w:type="dxa" w:w="1234"/>
          </w:tcPr>
          <w:p>
            <w:r>
              <w:t>0.693</w:t>
            </w:r>
          </w:p>
        </w:tc>
        <w:tc>
          <w:tcPr>
            <w:tcW w:type="dxa" w:w="1234"/>
          </w:tcPr>
          <w:p>
            <w:r>
              <w:t>24112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Ever alcohol (past/current)</w:t>
            </w:r>
          </w:p>
        </w:tc>
        <w:tc>
          <w:tcPr>
            <w:tcW w:type="dxa" w:w="2160"/>
          </w:tcPr>
          <w:p>
            <w:r>
              <w:t>Ever alcohol (past/current)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9.8%</w:t>
            </w:r>
          </w:p>
        </w:tc>
        <w:tc>
          <w:tcPr>
            <w:tcW w:type="dxa" w:w="2160"/>
          </w:tcPr>
          <w:p>
            <w:r>
              <w:t>7.6%</w:t>
            </w:r>
          </w:p>
        </w:tc>
        <w:tc>
          <w:tcPr>
            <w:tcW w:type="dxa" w:w="2160"/>
          </w:tcPr>
          <w:p>
            <w:r>
              <w:t>10.4%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50.6</w:t>
            </w:r>
          </w:p>
        </w:tc>
        <w:tc>
          <w:tcPr>
            <w:tcW w:type="dxa" w:w="2160"/>
          </w:tcPr>
          <w:p>
            <w:r>
              <w:t>46.8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30.2%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22.6%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29.7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