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Elevated AST (&gt;40 IU/L) and Ever alcohol (past/current)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Elevated AST (&gt;40 IU/L) was positively associated with Ever alcohol (past/current) (odds ratio 1.08 (95% CI 0.87 to 1.33), false discovery rate q 0.545) among 24112 adults aged 20 years or older (a weighted Ever alcohol (past/current) prevalence of 80.6 percent, survey-weighted). Confounders: Age, years, Male sex, Ever smoking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smoking, alcohol and (where not collinear) BMI. Adjustment for this exposure: Age, years, Male sex, Ever smoking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Elevated AST (&gt;40 IU/L)</w:t>
            </w:r>
          </w:p>
        </w:tc>
        <w:tc>
          <w:tcPr>
            <w:tcW w:type="dxa" w:w="1234"/>
          </w:tcPr>
          <w:p>
            <w:r>
              <w:t>Ever alcohol (past/current)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1.08 (95% CI 0.87 to 1.33)</w:t>
            </w:r>
          </w:p>
        </w:tc>
        <w:tc>
          <w:tcPr>
            <w:tcW w:type="dxa" w:w="1234"/>
          </w:tcPr>
          <w:p>
            <w:r>
              <w:t>0.487</w:t>
            </w:r>
          </w:p>
        </w:tc>
        <w:tc>
          <w:tcPr>
            <w:tcW w:type="dxa" w:w="1234"/>
          </w:tcPr>
          <w:p>
            <w:r>
              <w:t>0.545</w:t>
            </w:r>
          </w:p>
        </w:tc>
        <w:tc>
          <w:tcPr>
            <w:tcW w:type="dxa" w:w="1234"/>
          </w:tcPr>
          <w:p>
            <w:r>
              <w:t>24112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Ever alcohol (past/current)</w:t>
            </w:r>
          </w:p>
        </w:tc>
        <w:tc>
          <w:tcPr>
            <w:tcW w:type="dxa" w:w="2160"/>
          </w:tcPr>
          <w:p>
            <w:r>
              <w:t>Ever alcohol (past/current)</w:t>
            </w:r>
          </w:p>
        </w:tc>
      </w:tr>
      <w:tr>
        <w:tc>
          <w:tcPr>
            <w:tcW w:type="dxa" w:w="2160"/>
          </w:tcPr>
          <w:p>
            <w:r>
              <w:t>Elevated AST (&gt;40 IU/L) (exposure)</w:t>
            </w:r>
          </w:p>
        </w:tc>
        <w:tc>
          <w:tcPr>
            <w:tcW w:type="dxa" w:w="2160"/>
          </w:tcPr>
          <w:p>
            <w:r>
              <w:t>5.3%</w:t>
            </w:r>
          </w:p>
        </w:tc>
        <w:tc>
          <w:tcPr>
            <w:tcW w:type="dxa" w:w="2160"/>
          </w:tcPr>
          <w:p>
            <w:r>
              <w:t>4.2%</w:t>
            </w:r>
          </w:p>
        </w:tc>
        <w:tc>
          <w:tcPr>
            <w:tcW w:type="dxa" w:w="2160"/>
          </w:tcPr>
          <w:p>
            <w:r>
              <w:t>5.5%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50.6</w:t>
            </w:r>
          </w:p>
        </w:tc>
        <w:tc>
          <w:tcPr>
            <w:tcW w:type="dxa" w:w="2160"/>
          </w:tcPr>
          <w:p>
            <w:r>
              <w:t>46.8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48.6%</w:t>
            </w:r>
          </w:p>
        </w:tc>
        <w:tc>
          <w:tcPr>
            <w:tcW w:type="dxa" w:w="2160"/>
          </w:tcPr>
          <w:p>
            <w:r>
              <w:t>30.2%</w:t>
            </w:r>
          </w:p>
        </w:tc>
        <w:tc>
          <w:tcPr>
            <w:tcW w:type="dxa" w:w="2160"/>
          </w:tcPr>
          <w:p>
            <w:r>
              <w:t>53.0%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43.6%</w:t>
            </w:r>
          </w:p>
        </w:tc>
        <w:tc>
          <w:tcPr>
            <w:tcW w:type="dxa" w:w="2160"/>
          </w:tcPr>
          <w:p>
            <w:r>
              <w:t>22.6%</w:t>
            </w:r>
          </w:p>
        </w:tc>
        <w:tc>
          <w:tcPr>
            <w:tcW w:type="dxa" w:w="2160"/>
          </w:tcPr>
          <w:p>
            <w:r>
              <w:t>48.7%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29.7</w:t>
            </w:r>
          </w:p>
        </w:tc>
        <w:tc>
          <w:tcPr>
            <w:tcW w:type="dxa" w:w="2160"/>
          </w:tcPr>
          <w:p>
            <w:r>
              <w:t>29.0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