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Ever alcohol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Femoral neck BMD, g/cm2 was positively associated with Ever alcohol (past/current) (odds ratio per 1-SD 1.11 (95% CI 1.02 to 1.20), false discovery rate q 0.030) among 24112 adults aged 20 years or older (a weighted Ever alcohol (past/current) prevalence of 80.6 percent, survey-weighted). Confounders: Age, years, Male sex, Ever smoking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1.11 (95% CI 1.02 to 1.20)</w:t>
            </w:r>
          </w:p>
        </w:tc>
        <w:tc>
          <w:tcPr>
            <w:tcW w:type="dxa" w:w="1234"/>
          </w:tcPr>
          <w:p>
            <w:r>
              <w:t>0.021</w:t>
            </w:r>
          </w:p>
        </w:tc>
        <w:tc>
          <w:tcPr>
            <w:tcW w:type="dxa" w:w="1234"/>
          </w:tcPr>
          <w:p>
            <w:r>
              <w:t>0.030</w:t>
            </w:r>
          </w:p>
        </w:tc>
        <w:tc>
          <w:tcPr>
            <w:tcW w:type="dxa" w:w="1234"/>
          </w:tcPr>
          <w:p>
            <w:r>
              <w:t>24112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Femoral neck BMD, g/cm2 (exposure)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50.6</w:t>
            </w:r>
          </w:p>
        </w:tc>
        <w:tc>
          <w:tcPr>
            <w:tcW w:type="dxa" w:w="2160"/>
          </w:tcPr>
          <w:p>
            <w:r>
              <w:t>46.8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30.2%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22.6%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29.7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