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Height, cm was positively associated with Ever alcohol (past/current) (odds ratio per 1-SD 1.46 (95% CI 1.36 to 1.57), false discovery rate q &lt;0.001) among 24112 adults aged 20 years or older (a weighted Ever alcohol (past/current) prevalence of 80.6 percent, survey-weighted). Confounders: Age, years, Male sex,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1.36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Height, cm (exposure)</w:t>
            </w:r>
          </w:p>
        </w:tc>
        <w:tc>
          <w:tcPr>
            <w:tcW w:type="dxa" w:w="2160"/>
          </w:tcPr>
          <w:p>
            <w:r>
              <w:t>168.6</w:t>
            </w:r>
          </w:p>
        </w:tc>
        <w:tc>
          <w:tcPr>
            <w:tcW w:type="dxa" w:w="2160"/>
          </w:tcPr>
          <w:p>
            <w:r>
              <w:t>164.3</w:t>
            </w:r>
          </w:p>
        </w:tc>
        <w:tc>
          <w:tcPr>
            <w:tcW w:type="dxa" w:w="2160"/>
          </w:tcPr>
          <w:p>
            <w:r>
              <w:t>169.6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