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and Ever alcohol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Hepatic steatosis was inversely associated with Ever alcohol (past/current) (odds ratio 0.79 (95% CI 0.53 to 1.18), false discovery rate q 0.330) among 24112 adults aged 20 years or older (a weighted Ever alcohol (past/current) prevalence of 80.6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0.79 (95% CI 0.53 to 1.18)</w:t>
            </w:r>
          </w:p>
        </w:tc>
        <w:tc>
          <w:tcPr>
            <w:tcW w:type="dxa" w:w="1234"/>
          </w:tcPr>
          <w:p>
            <w:r>
              <w:t>0.277</w:t>
            </w:r>
          </w:p>
        </w:tc>
        <w:tc>
          <w:tcPr>
            <w:tcW w:type="dxa" w:w="1234"/>
          </w:tcPr>
          <w:p>
            <w:r>
              <w:t>0.330</w:t>
            </w:r>
          </w:p>
        </w:tc>
        <w:tc>
          <w:tcPr>
            <w:tcW w:type="dxa" w:w="1234"/>
          </w:tcPr>
          <w:p>
            <w:r>
              <w:t>24112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Hepatic steatosis (exposure)</w:t>
            </w:r>
          </w:p>
        </w:tc>
        <w:tc>
          <w:tcPr>
            <w:tcW w:type="dxa" w:w="2160"/>
          </w:tcPr>
          <w:p>
            <w:r>
              <w:t>56.0%</w:t>
            </w:r>
          </w:p>
        </w:tc>
        <w:tc>
          <w:tcPr>
            <w:tcW w:type="dxa" w:w="2160"/>
          </w:tcPr>
          <w:p>
            <w:r>
              <w:t>55.0%</w:t>
            </w:r>
          </w:p>
        </w:tc>
        <w:tc>
          <w:tcPr>
            <w:tcW w:type="dxa" w:w="2160"/>
          </w:tcPr>
          <w:p>
            <w:r>
              <w:t>56.1%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50.6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30.2%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22.6%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