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Ever alcohol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LDL cholesterol, mg/dL was positively associated with Ever alcohol (past/current) (odds ratio per 1-SD 1.02 (95% CI 0.96 to 1.09), false discovery rate q 0.588) among 24112 adults aged 20 years or older (a weighted Ever alcohol (past/current) prevalence of 80.6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1.02 (95% CI 0.96 to 1.09)</w:t>
            </w:r>
          </w:p>
        </w:tc>
        <w:tc>
          <w:tcPr>
            <w:tcW w:type="dxa" w:w="1234"/>
          </w:tcPr>
          <w:p>
            <w:r>
              <w:t>0.531</w:t>
            </w:r>
          </w:p>
        </w:tc>
        <w:tc>
          <w:tcPr>
            <w:tcW w:type="dxa" w:w="1234"/>
          </w:tcPr>
          <w:p>
            <w:r>
              <w:t>0.588</w:t>
            </w:r>
          </w:p>
        </w:tc>
        <w:tc>
          <w:tcPr>
            <w:tcW w:type="dxa" w:w="1234"/>
          </w:tcPr>
          <w:p>
            <w:r>
              <w:t>24112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LDL cholesterol, mg/dL (exposure)</w:t>
            </w:r>
          </w:p>
        </w:tc>
        <w:tc>
          <w:tcPr>
            <w:tcW w:type="dxa" w:w="2160"/>
          </w:tcPr>
          <w:p>
            <w:r>
              <w:t>113.9</w:t>
            </w:r>
          </w:p>
        </w:tc>
        <w:tc>
          <w:tcPr>
            <w:tcW w:type="dxa" w:w="2160"/>
          </w:tcPr>
          <w:p>
            <w:r>
              <w:t>113.9</w:t>
            </w:r>
          </w:p>
        </w:tc>
        <w:tc>
          <w:tcPr>
            <w:tcW w:type="dxa" w:w="2160"/>
          </w:tcPr>
          <w:p>
            <w:r>
              <w:t>113.9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50.6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30.2%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22.6%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29.7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