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inversely associated with Ever alcohol (past/current) (odds ratio 0.62 (95% CI 0.56 to 0.69), false discovery rate q &lt;0.001)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0.62 (95% CI 0.56 to 0.69)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29.1%</w:t>
            </w:r>
          </w:p>
        </w:tc>
        <w:tc>
          <w:tcPr>
            <w:tcW w:type="dxa" w:w="2160"/>
          </w:tcPr>
          <w:p>
            <w:r>
              <w:t>36.1%</w:t>
            </w:r>
          </w:p>
        </w:tc>
        <w:tc>
          <w:tcPr>
            <w:tcW w:type="dxa" w:w="2160"/>
          </w:tcPr>
          <w:p>
            <w:r>
              <w:t>27.4%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