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Lumbar spine BMD, g/cm2 and Ever alcohol (past/current)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Lumbar spine BMD, g/cm2 was positively associated with Ever alcohol (past/current) (odds ratio per 1-SD 1.16 (95% CI 1.07 to 1.25), false discovery rate q &lt;0.001) among 24112 adults aged 20 years or older (a weighted Ever alcohol (past/current) prevalence of 80.6 percent, survey-weighted). Confounders: Age, years, Male sex, Ever smoking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sex, Ever smoking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Lumbar spine BMD, g/cm2</w:t>
            </w:r>
          </w:p>
        </w:tc>
        <w:tc>
          <w:tcPr>
            <w:tcW w:type="dxa" w:w="1234"/>
          </w:tcPr>
          <w:p>
            <w:r>
              <w:t>Ever alcohol (past/current)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1.16 (95% CI 1.07 to 1.25)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24112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Ever alcohol (past/current)</w:t>
            </w:r>
          </w:p>
        </w:tc>
        <w:tc>
          <w:tcPr>
            <w:tcW w:type="dxa" w:w="2160"/>
          </w:tcPr>
          <w:p>
            <w:r>
              <w:t>Ever alcohol (past/current)</w:t>
            </w:r>
          </w:p>
        </w:tc>
      </w:tr>
      <w:tr>
        <w:tc>
          <w:tcPr>
            <w:tcW w:type="dxa" w:w="2160"/>
          </w:tcPr>
          <w:p>
            <w:r>
              <w:t>Lumbar spine BMD, g/cm2 (exposure)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50.6</w:t>
            </w:r>
          </w:p>
        </w:tc>
        <w:tc>
          <w:tcPr>
            <w:tcW w:type="dxa" w:w="2160"/>
          </w:tcPr>
          <w:p>
            <w:r>
              <w:t>46.8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48.6%</w:t>
            </w:r>
          </w:p>
        </w:tc>
        <w:tc>
          <w:tcPr>
            <w:tcW w:type="dxa" w:w="2160"/>
          </w:tcPr>
          <w:p>
            <w:r>
              <w:t>30.2%</w:t>
            </w:r>
          </w:p>
        </w:tc>
        <w:tc>
          <w:tcPr>
            <w:tcW w:type="dxa" w:w="2160"/>
          </w:tcPr>
          <w:p>
            <w:r>
              <w:t>53.0%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43.6%</w:t>
            </w:r>
          </w:p>
        </w:tc>
        <w:tc>
          <w:tcPr>
            <w:tcW w:type="dxa" w:w="2160"/>
          </w:tcPr>
          <w:p>
            <w:r>
              <w:t>22.6%</w:t>
            </w:r>
          </w:p>
        </w:tc>
        <w:tc>
          <w:tcPr>
            <w:tcW w:type="dxa" w:w="2160"/>
          </w:tcPr>
          <w:p>
            <w:r>
              <w:t>48.7%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29.7</w:t>
            </w:r>
          </w:p>
        </w:tc>
        <w:tc>
          <w:tcPr>
            <w:tcW w:type="dxa" w:w="2160"/>
          </w:tcPr>
          <w:p>
            <w:r>
              <w:t>29.0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