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MASLD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MASLD was inversely associated with Ever alcohol (past/current) (odds ratio 0.65 (95% CI 0.43 to 0.99), false discovery rate q 0.099)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0.65 (95% CI 0.43 to 0.99)</w:t>
            </w:r>
          </w:p>
        </w:tc>
        <w:tc>
          <w:tcPr>
            <w:tcW w:type="dxa" w:w="1234"/>
          </w:tcPr>
          <w:p>
            <w:r>
              <w:t>0.074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MASLD (exposure)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