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Ever alcohol (past/current) (odds ratio per 1-SD 0.98 (95% CI 0.93 to 1.03), false discovery rate q 0.439)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0.93 to 1.03)</w:t>
            </w:r>
          </w:p>
        </w:tc>
        <w:tc>
          <w:tcPr>
            <w:tcW w:type="dxa" w:w="1234"/>
          </w:tcPr>
          <w:p>
            <w:r>
              <w:t>0.383</w:t>
            </w:r>
          </w:p>
        </w:tc>
        <w:tc>
          <w:tcPr>
            <w:tcW w:type="dxa" w:w="1234"/>
          </w:tcPr>
          <w:p>
            <w:r>
              <w:t>0.439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249.1</w:t>
            </w:r>
          </w:p>
        </w:tc>
        <w:tc>
          <w:tcPr>
            <w:tcW w:type="dxa" w:w="2160"/>
          </w:tcPr>
          <w:p>
            <w:r>
              <w:t>252.9</w:t>
            </w:r>
          </w:p>
        </w:tc>
        <w:tc>
          <w:tcPr>
            <w:tcW w:type="dxa" w:w="2160"/>
          </w:tcPr>
          <w:p>
            <w:r>
              <w:t>248.2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