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uric acid, mg/dL and Ever alcohol (past/current)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Serum uric acid, mg/dL was positively associated with Ever alcohol (past/current) (odds ratio per 1-SD 1.00 (95% CI 0.95 to 1.06), false discovery rate q 0.888) among 24112 adults aged 20 years or older (a weighted Ever alcohol (past/current) prevalence of 80.6 percent, survey-weighted). Confounders: Age, years, Male sex, Ever smoking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uric acid, mg/dL</w:t>
            </w:r>
          </w:p>
        </w:tc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1.00 (95% CI 0.95 to 1.06)</w:t>
            </w:r>
          </w:p>
        </w:tc>
        <w:tc>
          <w:tcPr>
            <w:tcW w:type="dxa" w:w="1234"/>
          </w:tcPr>
          <w:p>
            <w:r>
              <w:t>0.868</w:t>
            </w:r>
          </w:p>
        </w:tc>
        <w:tc>
          <w:tcPr>
            <w:tcW w:type="dxa" w:w="1234"/>
          </w:tcPr>
          <w:p>
            <w:r>
              <w:t>0.888</w:t>
            </w:r>
          </w:p>
        </w:tc>
        <w:tc>
          <w:tcPr>
            <w:tcW w:type="dxa" w:w="1234"/>
          </w:tcPr>
          <w:p>
            <w:r>
              <w:t>24112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alcohol (past/current)</w:t>
            </w:r>
          </w:p>
        </w:tc>
        <w:tc>
          <w:tcPr>
            <w:tcW w:type="dxa" w:w="2160"/>
          </w:tcPr>
          <w:p>
            <w:r>
              <w:t>Ever alcohol (past/current)</w:t>
            </w:r>
          </w:p>
        </w:tc>
      </w:tr>
      <w:tr>
        <w:tc>
          <w:tcPr>
            <w:tcW w:type="dxa" w:w="2160"/>
          </w:tcPr>
          <w:p>
            <w:r>
              <w:t>Serum uric acid, mg/dL (exposure)</w:t>
            </w:r>
          </w:p>
        </w:tc>
        <w:tc>
          <w:tcPr>
            <w:tcW w:type="dxa" w:w="2160"/>
          </w:tcPr>
          <w:p>
            <w:r>
              <w:t>5.4</w:t>
            </w:r>
          </w:p>
        </w:tc>
        <w:tc>
          <w:tcPr>
            <w:tcW w:type="dxa" w:w="2160"/>
          </w:tcPr>
          <w:p>
            <w:r>
              <w:t>5.2</w:t>
            </w:r>
          </w:p>
        </w:tc>
        <w:tc>
          <w:tcPr>
            <w:tcW w:type="dxa" w:w="2160"/>
          </w:tcPr>
          <w:p>
            <w:r>
              <w:t>5.5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50.6</w:t>
            </w:r>
          </w:p>
        </w:tc>
        <w:tc>
          <w:tcPr>
            <w:tcW w:type="dxa" w:w="2160"/>
          </w:tcPr>
          <w:p>
            <w:r>
              <w:t>46.8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30.2%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22.6%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29.7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