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inversely associated with Ever alcohol (past/current) (odds ratio per 1-SD 0.87 (95% CI 0.82 to 0.91),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0.82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122.6</w:t>
            </w:r>
          </w:p>
        </w:tc>
        <w:tc>
          <w:tcPr>
            <w:tcW w:type="dxa" w:w="2160"/>
          </w:tcPr>
          <w:p>
            <w:r>
              <w:t>124.8</w:t>
            </w:r>
          </w:p>
        </w:tc>
        <w:tc>
          <w:tcPr>
            <w:tcW w:type="dxa" w:w="2160"/>
          </w:tcPr>
          <w:p>
            <w:r>
              <w:t>122.1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