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inversely associated with Ever alcohol (past/current) (odds ratio per 1-SD 0.87 (95% CI 0.80 to 0.95), false discovery rate q 0.004) among 24112 adults aged 20 years or older (a weighted Ever alcohol (past/current) prevalence of 80.6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0.80 to 0.95)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30.3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