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Ever alcohol (past/current) (odds ratio per 1-SD 1.04 (95% CI 0.93 to 1.16), false discovery rate q 0.564)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0.93 to 1.16)</w:t>
            </w:r>
          </w:p>
        </w:tc>
        <w:tc>
          <w:tcPr>
            <w:tcW w:type="dxa" w:w="1234"/>
          </w:tcPr>
          <w:p>
            <w:r>
              <w:t>0.507</w:t>
            </w:r>
          </w:p>
        </w:tc>
        <w:tc>
          <w:tcPr>
            <w:tcW w:type="dxa" w:w="1234"/>
          </w:tcPr>
          <w:p>
            <w:r>
              <w:t>0.564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54.9</w:t>
            </w:r>
          </w:p>
        </w:tc>
        <w:tc>
          <w:tcPr>
            <w:tcW w:type="dxa" w:w="2160"/>
          </w:tcPr>
          <w:p>
            <w:r>
              <w:t>51.8</w:t>
            </w:r>
          </w:p>
        </w:tc>
        <w:tc>
          <w:tcPr>
            <w:tcW w:type="dxa" w:w="2160"/>
          </w:tcPr>
          <w:p>
            <w:r>
              <w:t>55.6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