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inversely associated with Ever alcohol (past/current) (odds ratio 0.55 (95% CI 0.49 to 0.61), false discovery rate q &lt;0.001)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0.55 (95% CI 0.49 to 0.61)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24.1%</w:t>
            </w:r>
          </w:p>
        </w:tc>
        <w:tc>
          <w:tcPr>
            <w:tcW w:type="dxa" w:w="2160"/>
          </w:tcPr>
          <w:p>
            <w:r>
              <w:t>31.7%</w:t>
            </w:r>
          </w:p>
        </w:tc>
        <w:tc>
          <w:tcPr>
            <w:tcW w:type="dxa" w:w="2160"/>
          </w:tcPr>
          <w:p>
            <w:r>
              <w:t>22.3%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