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inversely associated with Ever smoking (past/current) (odds ratio per 1-SD 0.85 (95% CI 0.77 to 0.93), false discovery rate q 0.001) among 26876 adults aged 20 years or older (a weighted Ever smoking (past/current) prevalence of 43.2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0.85 (95% CI 0.77 to 0.93)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