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Dyslipidemia (KSoLA composite) and Ever smoking (past/current)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Dyslipidemia (KSoLA composite) was positively associated with Ever smoking (past/current) (odds ratio 1.27 (95% CI 1.16 to 1.39), false discovery rate q &lt;0.001) among 26876 adults aged 20 years or older (a weighted Ever smoking (past/current) prevalence of 43.2 percent, survey-weighted). Confounders: Age, years, Male sex,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Dyslipidemia (KSoLA composite)</w:t>
            </w:r>
          </w:p>
        </w:tc>
        <w:tc>
          <w:tcPr>
            <w:tcW w:type="dxa" w:w="1234"/>
          </w:tcPr>
          <w:p>
            <w:r>
              <w:t>Ever smoking (past/current)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1.27 (95% CI 1.16 to 1.39)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26876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Ever smoking (past/current)</w:t>
            </w:r>
          </w:p>
        </w:tc>
        <w:tc>
          <w:tcPr>
            <w:tcW w:type="dxa" w:w="2160"/>
          </w:tcPr>
          <w:p>
            <w:r>
              <w:t>Ever smoking (past/current)</w:t>
            </w:r>
          </w:p>
        </w:tc>
      </w:tr>
      <w:tr>
        <w:tc>
          <w:tcPr>
            <w:tcW w:type="dxa" w:w="2160"/>
          </w:tcPr>
          <w:p>
            <w:r>
              <w:t>Dyslipidemia (KSoLA composite) (exposure)</w:t>
            </w:r>
          </w:p>
        </w:tc>
        <w:tc>
          <w:tcPr>
            <w:tcW w:type="dxa" w:w="2160"/>
          </w:tcPr>
          <w:p>
            <w:r>
              <w:t>51.7%</w:t>
            </w:r>
          </w:p>
        </w:tc>
        <w:tc>
          <w:tcPr>
            <w:tcW w:type="dxa" w:w="2160"/>
          </w:tcPr>
          <w:p>
            <w:r>
              <w:t>49.0%</w:t>
            </w:r>
          </w:p>
        </w:tc>
        <w:tc>
          <w:tcPr>
            <w:tcW w:type="dxa" w:w="2160"/>
          </w:tcPr>
          <w:p>
            <w:r>
              <w:t>55.2%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46.0</w:t>
            </w:r>
          </w:p>
        </w:tc>
        <w:tc>
          <w:tcPr>
            <w:tcW w:type="dxa" w:w="2160"/>
          </w:tcPr>
          <w:p>
            <w:r>
              <w:t>49.2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42.3%</w:t>
            </w:r>
          </w:p>
        </w:tc>
        <w:tc>
          <w:tcPr>
            <w:tcW w:type="dxa" w:w="2160"/>
          </w:tcPr>
          <w:p>
            <w:r>
              <w:t>55.6%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80.6%</w:t>
            </w:r>
          </w:p>
        </w:tc>
        <w:tc>
          <w:tcPr>
            <w:tcW w:type="dxa" w:w="2160"/>
          </w:tcPr>
          <w:p>
            <w:r>
              <w:t>73.4%</w:t>
            </w:r>
          </w:p>
        </w:tc>
        <w:tc>
          <w:tcPr>
            <w:tcW w:type="dxa" w:w="2160"/>
          </w:tcPr>
          <w:p>
            <w:r>
              <w:t>90.0%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29.2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