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Elevated ALT (&gt;40 IU/L) and Ever smoking (past/current)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Elevated ALT (&gt;40 IU/L) was positively associated with Ever smoking (past/current) (odds ratio 1.09 (95% CI 0.97 to 1.22), false discovery rate q 0.199) among 26876 adults aged 20 years or older (a weighted Ever smoking (past/current) prevalence of 43.2 percent, survey-weighted). Confounders: Age, years, Male sex,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Elevated ALT (&gt;40 IU/L)</w:t>
            </w:r>
          </w:p>
        </w:tc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1.09 (95% CI 0.97 to 1.22)</w:t>
            </w:r>
          </w:p>
        </w:tc>
        <w:tc>
          <w:tcPr>
            <w:tcW w:type="dxa" w:w="1234"/>
          </w:tcPr>
          <w:p>
            <w:r>
              <w:t>0.160</w:t>
            </w:r>
          </w:p>
        </w:tc>
        <w:tc>
          <w:tcPr>
            <w:tcW w:type="dxa" w:w="1234"/>
          </w:tcPr>
          <w:p>
            <w:r>
              <w:t>0.199</w:t>
            </w:r>
          </w:p>
        </w:tc>
        <w:tc>
          <w:tcPr>
            <w:tcW w:type="dxa" w:w="1234"/>
          </w:tcPr>
          <w:p>
            <w:r>
              <w:t>26876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smoking (past/current)</w:t>
            </w:r>
          </w:p>
        </w:tc>
        <w:tc>
          <w:tcPr>
            <w:tcW w:type="dxa" w:w="2160"/>
          </w:tcPr>
          <w:p>
            <w:r>
              <w:t>Ever smoking (past/current)</w:t>
            </w:r>
          </w:p>
        </w:tc>
      </w:tr>
      <w:tr>
        <w:tc>
          <w:tcPr>
            <w:tcW w:type="dxa" w:w="2160"/>
          </w:tcPr>
          <w:p>
            <w:r>
              <w:t>Elevated ALT (&gt;40 IU/L) (exposure)</w:t>
            </w:r>
          </w:p>
        </w:tc>
        <w:tc>
          <w:tcPr>
            <w:tcW w:type="dxa" w:w="2160"/>
          </w:tcPr>
          <w:p>
            <w:r>
              <w:t>9.8%</w:t>
            </w:r>
          </w:p>
        </w:tc>
        <w:tc>
          <w:tcPr>
            <w:tcW w:type="dxa" w:w="2160"/>
          </w:tcPr>
          <w:p>
            <w:r>
              <w:t>9.1%</w:t>
            </w:r>
          </w:p>
        </w:tc>
        <w:tc>
          <w:tcPr>
            <w:tcW w:type="dxa" w:w="2160"/>
          </w:tcPr>
          <w:p>
            <w:r>
              <w:t>10.6%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46.0</w:t>
            </w:r>
          </w:p>
        </w:tc>
        <w:tc>
          <w:tcPr>
            <w:tcW w:type="dxa" w:w="2160"/>
          </w:tcPr>
          <w:p>
            <w:r>
              <w:t>49.2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42.3%</w:t>
            </w:r>
          </w:p>
        </w:tc>
        <w:tc>
          <w:tcPr>
            <w:tcW w:type="dxa" w:w="2160"/>
          </w:tcPr>
          <w:p>
            <w:r>
              <w:t>55.6%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80.6%</w:t>
            </w:r>
          </w:p>
        </w:tc>
        <w:tc>
          <w:tcPr>
            <w:tcW w:type="dxa" w:w="2160"/>
          </w:tcPr>
          <w:p>
            <w:r>
              <w:t>73.4%</w:t>
            </w:r>
          </w:p>
        </w:tc>
        <w:tc>
          <w:tcPr>
            <w:tcW w:type="dxa" w:w="2160"/>
          </w:tcPr>
          <w:p>
            <w:r>
              <w:t>90.0%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29.2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