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muscle mass (low ASMI, AWGS cut) and Ever smoking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Low muscle mass (low ASMI, AWGS cut) was positively associated with Ever smoking (past/current) (odds ratio 1.47 (95% CI 0.98 to 2.20), false discovery rate q 0.092) among 26876 adults aged 20 years or older (a weighted Ever smoking (past/current) prevalence of 43.2 percent, survey-weighted). Confounders: Age, years, Male sex,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1.47 (95% CI 0.98 to 2.20)</w:t>
            </w:r>
          </w:p>
        </w:tc>
        <w:tc>
          <w:tcPr>
            <w:tcW w:type="dxa" w:w="1234"/>
          </w:tcPr>
          <w:p>
            <w:r>
              <w:t>0.068</w:t>
            </w:r>
          </w:p>
        </w:tc>
        <w:tc>
          <w:tcPr>
            <w:tcW w:type="dxa" w:w="1234"/>
          </w:tcPr>
          <w:p>
            <w:r>
              <w:t>0.092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Low muscle mass (low ASMI, AWGS cut) (exposure)</w:t>
            </w:r>
          </w:p>
        </w:tc>
        <w:tc>
          <w:tcPr>
            <w:tcW w:type="dxa" w:w="2160"/>
          </w:tcPr>
          <w:p>
            <w:r>
              <w:t>3.2%</w:t>
            </w:r>
          </w:p>
        </w:tc>
        <w:tc>
          <w:tcPr>
            <w:tcW w:type="dxa" w:w="2160"/>
          </w:tcPr>
          <w:p>
            <w:r>
              <w:t>2.8%</w:t>
            </w:r>
          </w:p>
        </w:tc>
        <w:tc>
          <w:tcPr>
            <w:tcW w:type="dxa" w:w="2160"/>
          </w:tcPr>
          <w:p>
            <w:r>
              <w:t>3.7%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29.2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